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FB88B80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692E68" w:rsidRPr="00BC578A">
        <w:rPr>
          <w:rFonts w:ascii="Verdana" w:hAnsi="Verdana"/>
          <w:b/>
          <w:sz w:val="18"/>
          <w:szCs w:val="18"/>
        </w:rPr>
        <w:t>„</w:t>
      </w:r>
      <w:bookmarkEnd w:id="0"/>
      <w:r w:rsidR="00692E68" w:rsidRPr="00BC578A">
        <w:rPr>
          <w:rFonts w:ascii="Verdana" w:hAnsi="Verdana"/>
          <w:b/>
          <w:sz w:val="18"/>
          <w:szCs w:val="18"/>
        </w:rPr>
        <w:t xml:space="preserve">Oprava protihlukové stěny na zastávce Dolní Lutyně“ </w:t>
      </w:r>
      <w:r w:rsidR="00692E68" w:rsidRPr="00BC578A">
        <w:rPr>
          <w:rFonts w:ascii="Verdana" w:hAnsi="Verdana"/>
          <w:sz w:val="18"/>
          <w:szCs w:val="18"/>
        </w:rPr>
        <w:t>č.j. 20243/2024-SŽ-OŘ OVA-NPI</w:t>
      </w:r>
      <w:r w:rsidR="00692E68" w:rsidRPr="004541D6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2E68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8B8C79-7218-4C14-B0A9-FA50318AD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2024-05-15T12:37:00Z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